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D637" w14:textId="69638303" w:rsidR="00BD7960" w:rsidRPr="006E275E" w:rsidRDefault="006E275E" w:rsidP="006E275E">
      <w:pPr>
        <w:pStyle w:val="a3"/>
        <w:jc w:val="center"/>
        <w:rPr>
          <w:rStyle w:val="a5"/>
          <w:rFonts w:asciiTheme="minorHAnsi" w:hAnsiTheme="minorHAnsi" w:cstheme="minorHAnsi"/>
          <w:sz w:val="36"/>
          <w:szCs w:val="36"/>
        </w:rPr>
      </w:pPr>
      <w:r w:rsidRPr="006E275E">
        <w:rPr>
          <w:rStyle w:val="a5"/>
          <w:rFonts w:asciiTheme="minorHAnsi" w:hAnsiTheme="minorHAnsi" w:cstheme="minorHAnsi"/>
          <w:sz w:val="36"/>
          <w:szCs w:val="36"/>
        </w:rPr>
        <w:t>Показатели доступности и качества медицинской помощи</w:t>
      </w:r>
    </w:p>
    <w:p w14:paraId="29A60067" w14:textId="606A41FD" w:rsidR="006E275E" w:rsidRDefault="006E275E" w:rsidP="006E275E"/>
    <w:p w14:paraId="502DEDFB" w14:textId="34FD15FE" w:rsidR="006E275E" w:rsidRPr="006E275E" w:rsidRDefault="006E275E" w:rsidP="006E275E">
      <w:pPr>
        <w:rPr>
          <w:rFonts w:ascii="Arial" w:hAnsi="Arial" w:cs="Arial"/>
        </w:rPr>
      </w:pPr>
      <w:r w:rsidRPr="006E275E">
        <w:rPr>
          <w:rFonts w:ascii="Arial" w:hAnsi="Arial" w:cs="Arial"/>
        </w:rPr>
        <w:t>В соответствии с Территориальной программой государственных гарантий бесплатного оказания гражданам медицинской помощи в городе Москве на 2024 год и на плановый период 2025 и 2026 годов устанавливаются целевые значения критериев доступности и качества медицинской помощи, на основе которых комплексно оценивается уровень и динамика следующих показателей:</w:t>
      </w:r>
    </w:p>
    <w:p w14:paraId="67726731" w14:textId="6972EF83" w:rsidR="006E275E" w:rsidRPr="006E275E" w:rsidRDefault="006E275E" w:rsidP="006E275E">
      <w:pPr>
        <w:jc w:val="center"/>
        <w:rPr>
          <w:rFonts w:ascii="Arial" w:hAnsi="Arial" w:cs="Arial"/>
          <w:b/>
          <w:bCs/>
        </w:rPr>
      </w:pPr>
      <w:r w:rsidRPr="006E275E">
        <w:rPr>
          <w:rFonts w:ascii="Arial" w:hAnsi="Arial" w:cs="Arial"/>
          <w:b/>
          <w:bCs/>
        </w:rPr>
        <w:t>Критерии качества медицинской помощи</w:t>
      </w:r>
      <w:r w:rsidRPr="006E275E">
        <w:rPr>
          <w:rFonts w:ascii="Arial" w:hAnsi="Arial" w:cs="Arial"/>
          <w:b/>
          <w:bCs/>
        </w:rPr>
        <w:t>:</w:t>
      </w:r>
    </w:p>
    <w:tbl>
      <w:tblPr>
        <w:tblW w:w="10927" w:type="dxa"/>
        <w:tblInd w:w="-1284" w:type="dxa"/>
        <w:shd w:val="clear" w:color="auto" w:fill="FFFFFF"/>
        <w:tblCellMar>
          <w:left w:w="0" w:type="dxa"/>
          <w:right w:w="0" w:type="dxa"/>
        </w:tblCellMar>
        <w:tblLook w:val="04A0" w:firstRow="1" w:lastRow="0" w:firstColumn="1" w:lastColumn="0" w:noHBand="0" w:noVBand="1"/>
      </w:tblPr>
      <w:tblGrid>
        <w:gridCol w:w="534"/>
        <w:gridCol w:w="7972"/>
        <w:gridCol w:w="807"/>
        <w:gridCol w:w="807"/>
        <w:gridCol w:w="807"/>
      </w:tblGrid>
      <w:tr w:rsidR="006E275E" w:rsidRPr="006E275E" w14:paraId="6480970B"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9E3820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п/п</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7FF3D0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Наименование критериев качества медицинской помощи</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5D5E9A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2024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A715B8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2025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9D1E66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2026 год</w:t>
            </w:r>
          </w:p>
        </w:tc>
      </w:tr>
      <w:tr w:rsidR="006E275E" w:rsidRPr="006E275E" w14:paraId="10262911"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42F5F7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86ECD66" w14:textId="7D82B967" w:rsidR="006E275E" w:rsidRPr="006E275E" w:rsidRDefault="006E275E" w:rsidP="006E275E">
            <w:pPr>
              <w:spacing w:after="0" w:line="240" w:lineRule="auto"/>
              <w:rPr>
                <w:rFonts w:ascii="Arial" w:eastAsia="Times New Roman" w:hAnsi="Arial" w:cs="Arial"/>
                <w:sz w:val="18"/>
                <w:szCs w:val="18"/>
                <w:bdr w:val="none" w:sz="0" w:space="0" w:color="auto" w:frame="1"/>
                <w:lang w:eastAsia="ru-RU"/>
              </w:rPr>
            </w:pPr>
            <w:r w:rsidRPr="006E275E">
              <w:rPr>
                <w:rFonts w:ascii="Arial" w:eastAsia="Times New Roman" w:hAnsi="Arial" w:cs="Arial"/>
                <w:sz w:val="18"/>
                <w:szCs w:val="18"/>
                <w:bdr w:val="none" w:sz="0" w:space="0" w:color="auto" w:frame="1"/>
                <w:lang w:eastAsia="ru-RU"/>
              </w:rPr>
              <w:t>Доля впервые выявленных заболеваний при профилактических медицинских осмотрах, в том числе в рамках диспансеризации,</w:t>
            </w:r>
            <w:r w:rsidRPr="006E275E">
              <w:rPr>
                <w:rFonts w:ascii="Arial" w:eastAsia="Times New Roman" w:hAnsi="Arial" w:cs="Arial"/>
                <w:sz w:val="18"/>
                <w:szCs w:val="18"/>
                <w:bdr w:val="none" w:sz="0" w:space="0" w:color="auto" w:frame="1"/>
                <w:lang w:eastAsia="ru-RU"/>
              </w:rPr>
              <w:t xml:space="preserve"> </w:t>
            </w:r>
            <w:r w:rsidRPr="006E275E">
              <w:rPr>
                <w:rFonts w:ascii="Arial" w:eastAsia="Times New Roman" w:hAnsi="Arial" w:cs="Arial"/>
                <w:sz w:val="18"/>
                <w:szCs w:val="18"/>
                <w:bdr w:val="none" w:sz="0" w:space="0" w:color="auto" w:frame="1"/>
                <w:lang w:eastAsia="ru-RU"/>
              </w:rPr>
              <w:t>в общем количестве впервые в жизни зарегистрированных заболеваний в течение года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DCA821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CEE9E5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19,9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93DBA7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19,9</w:t>
            </w:r>
          </w:p>
        </w:tc>
      </w:tr>
      <w:tr w:rsidR="006E275E" w:rsidRPr="006E275E" w14:paraId="18F801CD"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302248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43F2C9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69ECB3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4E6CA7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4F1BD4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3,7</w:t>
            </w:r>
          </w:p>
        </w:tc>
      </w:tr>
      <w:tr w:rsidR="006E275E" w:rsidRPr="006E275E" w14:paraId="68339242"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D69CC3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ECD5E4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7A5EE0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3A8890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39CFA1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8,7</w:t>
            </w:r>
          </w:p>
        </w:tc>
      </w:tr>
      <w:tr w:rsidR="006E275E" w:rsidRPr="006E275E" w14:paraId="25E24A76"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D7ECD8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49EE4C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w:t>
            </w:r>
            <w:r w:rsidRPr="006E275E">
              <w:rPr>
                <w:rFonts w:ascii="Arial" w:eastAsia="Times New Roman" w:hAnsi="Arial" w:cs="Arial"/>
                <w:sz w:val="18"/>
                <w:szCs w:val="18"/>
                <w:bdr w:val="none" w:sz="0" w:space="0" w:color="auto" w:frame="1"/>
                <w:vertAlign w:val="superscript"/>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EBB2CA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DAD3A1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99A775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97,0</w:t>
            </w:r>
          </w:p>
        </w:tc>
      </w:tr>
      <w:tr w:rsidR="006E275E" w:rsidRPr="006E275E" w14:paraId="72E8A5CA"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54F474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D6DD09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8E84FC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349692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2549BC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75,0</w:t>
            </w:r>
          </w:p>
        </w:tc>
      </w:tr>
      <w:tr w:rsidR="006E275E" w:rsidRPr="006E275E" w14:paraId="6066FD6F"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22D235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6</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8B12B8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xml:space="preserve">Доля пациентов с острым инфарктом миокарда, которым проведено </w:t>
            </w:r>
            <w:proofErr w:type="spellStart"/>
            <w:r w:rsidRPr="006E275E">
              <w:rPr>
                <w:rFonts w:ascii="Arial" w:eastAsia="Times New Roman" w:hAnsi="Arial" w:cs="Arial"/>
                <w:sz w:val="18"/>
                <w:szCs w:val="18"/>
                <w:bdr w:val="none" w:sz="0" w:space="0" w:color="auto" w:frame="1"/>
                <w:lang w:eastAsia="ru-RU"/>
              </w:rPr>
              <w:t>стентирование</w:t>
            </w:r>
            <w:proofErr w:type="spellEnd"/>
            <w:r w:rsidRPr="006E275E">
              <w:rPr>
                <w:rFonts w:ascii="Arial" w:eastAsia="Times New Roman" w:hAnsi="Arial" w:cs="Arial"/>
                <w:sz w:val="18"/>
                <w:szCs w:val="18"/>
                <w:bdr w:val="none" w:sz="0" w:space="0" w:color="auto" w:frame="1"/>
                <w:lang w:eastAsia="ru-RU"/>
              </w:rPr>
              <w:t xml:space="preserve"> коронарных артерий, в общем количестве пациентов с острым инфарктом миокарда, имеющих показания к его проведению (проценты)</w:t>
            </w:r>
            <w:r w:rsidRPr="006E275E">
              <w:rPr>
                <w:rFonts w:ascii="Arial" w:eastAsia="Times New Roman" w:hAnsi="Arial" w:cs="Arial"/>
                <w:sz w:val="18"/>
                <w:szCs w:val="18"/>
                <w:bdr w:val="none" w:sz="0" w:space="0" w:color="auto" w:frame="1"/>
                <w:vertAlign w:val="superscript"/>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FE0987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646CC5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51A637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86,0</w:t>
            </w:r>
          </w:p>
        </w:tc>
      </w:tr>
      <w:tr w:rsidR="006E275E" w:rsidRPr="006E275E" w14:paraId="34A5141A"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A157B6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52C878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xml:space="preserve">Доля пациентов с острым и повторным инфарктом миокарда, которым выездной бригадой проведен </w:t>
            </w:r>
            <w:proofErr w:type="spellStart"/>
            <w:r w:rsidRPr="006E275E">
              <w:rPr>
                <w:rFonts w:ascii="Arial" w:eastAsia="Times New Roman" w:hAnsi="Arial" w:cs="Arial"/>
                <w:sz w:val="18"/>
                <w:szCs w:val="18"/>
                <w:bdr w:val="none" w:sz="0" w:space="0" w:color="auto" w:frame="1"/>
                <w:lang w:eastAsia="ru-RU"/>
              </w:rPr>
              <w:t>тромболизис</w:t>
            </w:r>
            <w:proofErr w:type="spellEnd"/>
            <w:r w:rsidRPr="006E275E">
              <w:rPr>
                <w:rFonts w:ascii="Arial" w:eastAsia="Times New Roman" w:hAnsi="Arial" w:cs="Arial"/>
                <w:sz w:val="18"/>
                <w:szCs w:val="18"/>
                <w:bdr w:val="none" w:sz="0" w:space="0" w:color="auto" w:frame="1"/>
                <w:lang w:eastAsia="ru-RU"/>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w:t>
            </w:r>
            <w:r w:rsidRPr="006E275E">
              <w:rPr>
                <w:rFonts w:ascii="Arial" w:eastAsia="Times New Roman" w:hAnsi="Arial" w:cs="Arial"/>
                <w:sz w:val="18"/>
                <w:szCs w:val="18"/>
                <w:bdr w:val="none" w:sz="0" w:space="0" w:color="auto" w:frame="1"/>
                <w:vertAlign w:val="superscript"/>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857D66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CC811A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259A89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r>
      <w:tr w:rsidR="006E275E" w:rsidRPr="006E275E" w14:paraId="650387A6"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C00F73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C190E0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xml:space="preserve">Доля пациентов с острым инфарктом миокарда, которым проведена </w:t>
            </w:r>
            <w:proofErr w:type="spellStart"/>
            <w:r w:rsidRPr="006E275E">
              <w:rPr>
                <w:rFonts w:ascii="Arial" w:eastAsia="Times New Roman" w:hAnsi="Arial" w:cs="Arial"/>
                <w:sz w:val="18"/>
                <w:szCs w:val="18"/>
                <w:bdr w:val="none" w:sz="0" w:space="0" w:color="auto" w:frame="1"/>
                <w:lang w:eastAsia="ru-RU"/>
              </w:rPr>
              <w:t>тромболитическая</w:t>
            </w:r>
            <w:proofErr w:type="spellEnd"/>
            <w:r w:rsidRPr="006E275E">
              <w:rPr>
                <w:rFonts w:ascii="Arial" w:eastAsia="Times New Roman" w:hAnsi="Arial" w:cs="Arial"/>
                <w:sz w:val="18"/>
                <w:szCs w:val="18"/>
                <w:bdr w:val="none" w:sz="0" w:space="0" w:color="auto" w:frame="1"/>
                <w:lang w:eastAsia="ru-RU"/>
              </w:rPr>
              <w:t xml:space="preserve"> терапия, в общем количестве пациентов с острым инфарктом миокарда, имеющих показания к ее проведению (проценты)</w:t>
            </w:r>
            <w:r w:rsidRPr="006E275E">
              <w:rPr>
                <w:rFonts w:ascii="Arial" w:eastAsia="Times New Roman" w:hAnsi="Arial" w:cs="Arial"/>
                <w:sz w:val="18"/>
                <w:szCs w:val="18"/>
                <w:bdr w:val="none" w:sz="0" w:space="0" w:color="auto" w:frame="1"/>
                <w:vertAlign w:val="superscript"/>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83B6DC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AEFE36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FF2E9E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99,0</w:t>
            </w:r>
          </w:p>
        </w:tc>
      </w:tr>
      <w:tr w:rsidR="006E275E" w:rsidRPr="006E275E" w14:paraId="2613C3D3"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377D18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6AD38C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E67E7E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337AEC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A38F4C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33,0</w:t>
            </w:r>
          </w:p>
        </w:tc>
      </w:tr>
      <w:tr w:rsidR="006E275E" w:rsidRPr="006E275E" w14:paraId="23A26A0D"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F4C325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93438C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xml:space="preserve">Доля пациентов с острым ишемическим инсультом, которым проведена </w:t>
            </w:r>
            <w:proofErr w:type="spellStart"/>
            <w:r w:rsidRPr="006E275E">
              <w:rPr>
                <w:rFonts w:ascii="Arial" w:eastAsia="Times New Roman" w:hAnsi="Arial" w:cs="Arial"/>
                <w:sz w:val="18"/>
                <w:szCs w:val="18"/>
                <w:bdr w:val="none" w:sz="0" w:space="0" w:color="auto" w:frame="1"/>
                <w:lang w:eastAsia="ru-RU"/>
              </w:rPr>
              <w:t>тромболитическая</w:t>
            </w:r>
            <w:proofErr w:type="spellEnd"/>
            <w:r w:rsidRPr="006E275E">
              <w:rPr>
                <w:rFonts w:ascii="Arial" w:eastAsia="Times New Roman" w:hAnsi="Arial" w:cs="Arial"/>
                <w:sz w:val="18"/>
                <w:szCs w:val="18"/>
                <w:bdr w:val="none" w:sz="0" w:space="0" w:color="auto" w:frame="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(проценты)</w:t>
            </w:r>
            <w:r w:rsidRPr="006E275E">
              <w:rPr>
                <w:rFonts w:ascii="Arial" w:eastAsia="Times New Roman" w:hAnsi="Arial" w:cs="Arial"/>
                <w:sz w:val="18"/>
                <w:szCs w:val="18"/>
                <w:bdr w:val="none" w:sz="0" w:space="0" w:color="auto" w:frame="1"/>
                <w:vertAlign w:val="superscript"/>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372155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AA95A3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DF5A40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21,4</w:t>
            </w:r>
          </w:p>
        </w:tc>
      </w:tr>
      <w:tr w:rsidR="006E275E" w:rsidRPr="006E275E" w14:paraId="075EFA26"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8CB2F7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11</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5E8D1A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xml:space="preserve">Доля пациентов с острым ишемическим инсультом, которым проведена </w:t>
            </w:r>
            <w:proofErr w:type="spellStart"/>
            <w:r w:rsidRPr="006E275E">
              <w:rPr>
                <w:rFonts w:ascii="Arial" w:eastAsia="Times New Roman" w:hAnsi="Arial" w:cs="Arial"/>
                <w:sz w:val="18"/>
                <w:szCs w:val="18"/>
                <w:bdr w:val="none" w:sz="0" w:space="0" w:color="auto" w:frame="1"/>
                <w:lang w:eastAsia="ru-RU"/>
              </w:rPr>
              <w:t>тромболитическая</w:t>
            </w:r>
            <w:proofErr w:type="spellEnd"/>
            <w:r w:rsidRPr="006E275E">
              <w:rPr>
                <w:rFonts w:ascii="Arial" w:eastAsia="Times New Roman" w:hAnsi="Arial" w:cs="Arial"/>
                <w:sz w:val="18"/>
                <w:szCs w:val="18"/>
                <w:bdr w:val="none" w:sz="0" w:space="0" w:color="auto" w:frame="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FBFE35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F80404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62E402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9,4</w:t>
            </w:r>
          </w:p>
        </w:tc>
      </w:tr>
      <w:tr w:rsidR="006E275E" w:rsidRPr="006E275E" w14:paraId="3BBA4B7F"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1AF343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12</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972BC2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1A826E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AE8B7B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CDBEA5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r>
      <w:tr w:rsidR="006E275E" w:rsidRPr="006E275E" w14:paraId="6F53B2F3"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4EF27F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lastRenderedPageBreak/>
              <w:t>13</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5DC3C7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D087B1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966333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0C7780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11</w:t>
            </w:r>
          </w:p>
        </w:tc>
      </w:tr>
      <w:tr w:rsidR="006E275E" w:rsidRPr="006E275E" w14:paraId="2788440A"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905066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14</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0D31CB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E028CF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2E61DA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10C14D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0,03</w:t>
            </w:r>
          </w:p>
        </w:tc>
      </w:tr>
      <w:tr w:rsidR="006E275E" w:rsidRPr="006E275E" w14:paraId="529911DA"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1A6F57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15</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D24D60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случаев госпитализации с диагнозом «Бронхиальная астма» на 100 тыс. населения в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93318D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70,15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84DC62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77,16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AB7A74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84,87</w:t>
            </w:r>
          </w:p>
        </w:tc>
      </w:tr>
      <w:tr w:rsidR="006E275E" w:rsidRPr="006E275E" w14:paraId="3951711D"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54EC7D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16</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A554F4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случаев госпитализации с диагнозом «Хроническая обструктивная болезнь легких» на 100 тыс. населения</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5D0592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37,51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4F7E8C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41,26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5AA176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45,38</w:t>
            </w:r>
          </w:p>
        </w:tc>
      </w:tr>
      <w:tr w:rsidR="006E275E" w:rsidRPr="006E275E" w14:paraId="300ED8FB"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46D281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17</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AA71FC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случаев госпитализации с диагнозом «Хроническая сердечная недостаточность» на 100 тыс. населения в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87A8B4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179,36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03D096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174,14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09F085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168,99</w:t>
            </w:r>
          </w:p>
        </w:tc>
      </w:tr>
      <w:tr w:rsidR="006E275E" w:rsidRPr="006E275E" w14:paraId="3749C098"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4A6D6F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18</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F91D45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случаев госпитализации с диагнозом «Гипертоническая болезнь» на 100 тыс. населения в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88CDFA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133,26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F6E05A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140,88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ADACF2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149,26</w:t>
            </w:r>
          </w:p>
        </w:tc>
      </w:tr>
      <w:tr w:rsidR="006E275E" w:rsidRPr="006E275E" w14:paraId="4D277D48"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36E4E5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19</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9BFAE7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случаев госпитализации с диагнозом «Сахарный диабет» на 100 тыс. населения в год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9946BF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133,26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DFF863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140,88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ECC42B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149,26</w:t>
            </w:r>
          </w:p>
        </w:tc>
      </w:tr>
      <w:tr w:rsidR="006E275E" w:rsidRPr="006E275E" w14:paraId="247F2880"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EFE0C1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322E5D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прооперированных в течение двух дней после поступления в стационар по поводу перелома шейки бедра, от всех прооперированных по поводу указанного диагноза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CD90D8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68,0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DE9B1F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76,0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95D1F1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79,0</w:t>
            </w:r>
          </w:p>
        </w:tc>
      </w:tr>
      <w:tr w:rsidR="006E275E" w:rsidRPr="006E275E" w14:paraId="7D596025"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D417A3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21</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3FB316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Количество пациентов с гепатитом С, получивших противовирусную терапию, на 100 тыс. населения в год</w:t>
            </w:r>
            <w:r w:rsidRPr="006E275E">
              <w:rPr>
                <w:rFonts w:ascii="Arial" w:eastAsia="Times New Roman" w:hAnsi="Arial" w:cs="Arial"/>
                <w:sz w:val="18"/>
                <w:szCs w:val="18"/>
                <w:bdr w:val="none" w:sz="0" w:space="0" w:color="auto" w:frame="1"/>
                <w:vertAlign w:val="superscript"/>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6A4167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38,96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FFD997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42,86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EF5F8D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47,15</w:t>
            </w:r>
          </w:p>
        </w:tc>
      </w:tr>
      <w:tr w:rsidR="006E275E" w:rsidRPr="006E275E" w14:paraId="2F12EF12"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8CA632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22</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74B996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A47E48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316AAB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79F231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r>
      <w:tr w:rsidR="006E275E" w:rsidRPr="006E275E" w14:paraId="21FF8B29"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46A4FC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23</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D83F8C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Число циклов ЭКО, выполняемых медицинской организацией, в течение одного года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AED03C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1B6B66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980170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r>
      <w:tr w:rsidR="006E275E" w:rsidRPr="006E275E" w14:paraId="5063CF74" w14:textId="77777777" w:rsidTr="006E275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38A6FC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24</w:t>
            </w:r>
          </w:p>
        </w:tc>
        <w:tc>
          <w:tcPr>
            <w:tcW w:w="7972"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0EFBF06"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88021D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69E4A9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19F1E8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w:t>
            </w:r>
          </w:p>
        </w:tc>
      </w:tr>
    </w:tbl>
    <w:p w14:paraId="28605645" w14:textId="795B5C36" w:rsidR="006E275E" w:rsidRDefault="006E275E" w:rsidP="006E275E">
      <w:pPr>
        <w:jc w:val="center"/>
        <w:rPr>
          <w:b/>
          <w:bCs/>
        </w:rPr>
      </w:pPr>
    </w:p>
    <w:p w14:paraId="40ED8BD6" w14:textId="1A64E47C" w:rsidR="006E275E" w:rsidRPr="006E275E" w:rsidRDefault="006E275E" w:rsidP="006E275E">
      <w:pPr>
        <w:jc w:val="center"/>
        <w:rPr>
          <w:rStyle w:val="a5"/>
          <w:rFonts w:ascii="Arial" w:hAnsi="Arial" w:cs="Arial"/>
          <w:bdr w:val="none" w:sz="0" w:space="0" w:color="auto" w:frame="1"/>
          <w:shd w:val="clear" w:color="auto" w:fill="FFFFFF"/>
        </w:rPr>
      </w:pPr>
      <w:r w:rsidRPr="006E275E">
        <w:rPr>
          <w:rStyle w:val="a5"/>
          <w:rFonts w:ascii="Arial" w:hAnsi="Arial" w:cs="Arial"/>
          <w:bdr w:val="none" w:sz="0" w:space="0" w:color="auto" w:frame="1"/>
          <w:shd w:val="clear" w:color="auto" w:fill="FFFFFF"/>
        </w:rPr>
        <w:t>Критерии доступности медицинской помощи</w:t>
      </w:r>
      <w:r>
        <w:rPr>
          <w:rStyle w:val="a5"/>
          <w:rFonts w:ascii="Arial" w:hAnsi="Arial" w:cs="Arial"/>
          <w:bdr w:val="none" w:sz="0" w:space="0" w:color="auto" w:frame="1"/>
          <w:shd w:val="clear" w:color="auto" w:fill="FFFFFF"/>
        </w:rPr>
        <w:t>:</w:t>
      </w:r>
    </w:p>
    <w:tbl>
      <w:tblPr>
        <w:tblW w:w="10915" w:type="dxa"/>
        <w:tblInd w:w="-1284" w:type="dxa"/>
        <w:shd w:val="clear" w:color="auto" w:fill="FFFFFF"/>
        <w:tblLayout w:type="fixed"/>
        <w:tblCellMar>
          <w:left w:w="0" w:type="dxa"/>
          <w:right w:w="0" w:type="dxa"/>
        </w:tblCellMar>
        <w:tblLook w:val="04A0" w:firstRow="1" w:lastRow="0" w:firstColumn="1" w:lastColumn="0" w:noHBand="0" w:noVBand="1"/>
      </w:tblPr>
      <w:tblGrid>
        <w:gridCol w:w="567"/>
        <w:gridCol w:w="7939"/>
        <w:gridCol w:w="850"/>
        <w:gridCol w:w="709"/>
        <w:gridCol w:w="850"/>
      </w:tblGrid>
      <w:tr w:rsidR="006E275E" w:rsidRPr="006E275E" w14:paraId="3DFFBEA7"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625568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 п/п</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17466A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Наименование критериев доступности медицинской помощи</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992318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2024 год</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883492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2025 год</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F997A8F" w14:textId="026A3F14"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2026</w:t>
            </w:r>
            <w:r w:rsidRPr="006E275E">
              <w:rPr>
                <w:rFonts w:ascii="Arial" w:eastAsia="Times New Roman" w:hAnsi="Arial" w:cs="Arial"/>
                <w:sz w:val="18"/>
                <w:szCs w:val="18"/>
                <w:bdr w:val="none" w:sz="0" w:space="0" w:color="auto" w:frame="1"/>
                <w:lang w:eastAsia="ru-RU"/>
              </w:rPr>
              <w:t xml:space="preserve"> </w:t>
            </w:r>
            <w:r w:rsidRPr="006E275E">
              <w:rPr>
                <w:rFonts w:ascii="Arial" w:eastAsia="Times New Roman" w:hAnsi="Arial" w:cs="Arial"/>
                <w:sz w:val="18"/>
                <w:szCs w:val="18"/>
                <w:bdr w:val="none" w:sz="0" w:space="0" w:color="auto" w:frame="1"/>
                <w:lang w:eastAsia="ru-RU"/>
              </w:rPr>
              <w:t>год</w:t>
            </w:r>
          </w:p>
        </w:tc>
      </w:tr>
      <w:tr w:rsidR="006E275E" w:rsidRPr="006E275E" w14:paraId="18F6BBE0"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741EC8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71AD08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Удовлетворенность населения медицинской помощью (проценты от числа опрошенных)</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ABF9A3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48,0</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38B5C5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53,0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4631A5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55,0</w:t>
            </w:r>
          </w:p>
        </w:tc>
      </w:tr>
      <w:tr w:rsidR="006E275E" w:rsidRPr="006E275E" w14:paraId="4A229955"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C92377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065FDA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3C10FC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0879898"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CF5BB6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9,9</w:t>
            </w:r>
          </w:p>
        </w:tc>
      </w:tr>
      <w:tr w:rsidR="006E275E" w:rsidRPr="006E275E" w14:paraId="1A5CDED5"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C613FF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3</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9DF209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FF266D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1,6</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15F6CF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1,6</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4E32DB3"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1,6</w:t>
            </w:r>
          </w:p>
        </w:tc>
      </w:tr>
      <w:tr w:rsidR="006E275E" w:rsidRPr="006E275E" w14:paraId="390E5458"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7DD4AB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4</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F878D2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0E3E8F4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0,9</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10C1BC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0,9</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892212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0,9</w:t>
            </w:r>
          </w:p>
        </w:tc>
      </w:tr>
      <w:tr w:rsidR="006E275E" w:rsidRPr="006E275E" w14:paraId="73B5D4BF"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5C68DE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D3DEFB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C23215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AC3E8B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8C39EF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100</w:t>
            </w:r>
          </w:p>
        </w:tc>
      </w:tr>
      <w:tr w:rsidR="006E275E" w:rsidRPr="006E275E" w14:paraId="50AEA828"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21AFA8FC"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6</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AF2A04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8FC216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250</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B9B5E30"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250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12794091"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250</w:t>
            </w:r>
          </w:p>
        </w:tc>
      </w:tr>
      <w:tr w:rsidR="006E275E" w:rsidRPr="006E275E" w14:paraId="1228ADB3"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775EA2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lastRenderedPageBreak/>
              <w:t>7</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1A5FD3D"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7F10A2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51EE00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C84EA9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0</w:t>
            </w:r>
          </w:p>
        </w:tc>
      </w:tr>
      <w:tr w:rsidR="006E275E" w:rsidRPr="006E275E" w14:paraId="2EFAFD8D"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D9C75D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8</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366142FF"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r w:rsidRPr="006E275E">
              <w:rPr>
                <w:rFonts w:ascii="Arial" w:eastAsia="Times New Roman" w:hAnsi="Arial" w:cs="Arial"/>
                <w:sz w:val="18"/>
                <w:szCs w:val="18"/>
                <w:bdr w:val="none" w:sz="0" w:space="0" w:color="auto" w:frame="1"/>
                <w:vertAlign w:val="superscript"/>
                <w:lang w:eastAsia="ru-RU"/>
              </w:rPr>
              <w:t>5</w:t>
            </w:r>
            <w:r w:rsidRPr="006E275E">
              <w:rPr>
                <w:rFonts w:ascii="Arial" w:eastAsia="Times New Roman" w:hAnsi="Arial" w:cs="Arial"/>
                <w:sz w:val="18"/>
                <w:szCs w:val="18"/>
                <w:bdr w:val="none" w:sz="0" w:space="0" w:color="auto" w:frame="1"/>
                <w:lang w:eastAsia="ru-RU"/>
              </w:rPr>
              <w:t> (проценты)</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C540994"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70,0</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F003D8B"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70,0</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5745E1F9"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70,0</w:t>
            </w:r>
          </w:p>
        </w:tc>
      </w:tr>
      <w:tr w:rsidR="006E275E" w:rsidRPr="006E275E" w14:paraId="18AF56D7" w14:textId="77777777" w:rsidTr="006E275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6DDDD9DE"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9</w:t>
            </w:r>
          </w:p>
        </w:tc>
        <w:tc>
          <w:tcPr>
            <w:tcW w:w="793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2FC1D12"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Доля граждан, обеспеченных лекарственными препаратами, в общем количестве льготных категорий граждан (проценты)</w:t>
            </w:r>
            <w:r w:rsidRPr="006E275E">
              <w:rPr>
                <w:rFonts w:ascii="Arial" w:eastAsia="Times New Roman" w:hAnsi="Arial" w:cs="Arial"/>
                <w:sz w:val="18"/>
                <w:szCs w:val="18"/>
                <w:bdr w:val="none" w:sz="0" w:space="0" w:color="auto" w:frame="1"/>
                <w:vertAlign w:val="superscript"/>
                <w:lang w:eastAsia="ru-RU"/>
              </w:rPr>
              <w:t>6</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CF42C75"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53,6</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4E5A5427"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53,6</w:t>
            </w:r>
          </w:p>
        </w:tc>
        <w:tc>
          <w:tcPr>
            <w:tcW w:w="850" w:type="dxa"/>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bottom"/>
            <w:hideMark/>
          </w:tcPr>
          <w:p w14:paraId="7A5B393A" w14:textId="77777777" w:rsidR="006E275E" w:rsidRPr="006E275E" w:rsidRDefault="006E275E" w:rsidP="006E275E">
            <w:pPr>
              <w:spacing w:after="0" w:line="240" w:lineRule="auto"/>
              <w:rPr>
                <w:rFonts w:ascii="Arial" w:eastAsia="Times New Roman" w:hAnsi="Arial" w:cs="Arial"/>
                <w:sz w:val="18"/>
                <w:szCs w:val="18"/>
                <w:lang w:eastAsia="ru-RU"/>
              </w:rPr>
            </w:pPr>
            <w:r w:rsidRPr="006E275E">
              <w:rPr>
                <w:rFonts w:ascii="Arial" w:eastAsia="Times New Roman" w:hAnsi="Arial" w:cs="Arial"/>
                <w:sz w:val="18"/>
                <w:szCs w:val="18"/>
                <w:bdr w:val="none" w:sz="0" w:space="0" w:color="auto" w:frame="1"/>
                <w:lang w:eastAsia="ru-RU"/>
              </w:rPr>
              <w:t>53,6</w:t>
            </w:r>
          </w:p>
        </w:tc>
      </w:tr>
    </w:tbl>
    <w:p w14:paraId="1FE4D466" w14:textId="41029751" w:rsidR="006E275E" w:rsidRPr="006E275E" w:rsidRDefault="006E275E" w:rsidP="006E275E">
      <w:pPr>
        <w:jc w:val="center"/>
        <w:rPr>
          <w:rFonts w:ascii="Times New Roman" w:hAnsi="Times New Roman" w:cs="Times New Roman"/>
          <w:b/>
          <w:bCs/>
          <w:sz w:val="24"/>
          <w:szCs w:val="24"/>
        </w:rPr>
      </w:pPr>
    </w:p>
    <w:p w14:paraId="423A3185"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1</w:t>
      </w:r>
      <w:r w:rsidRPr="006E275E">
        <w:rPr>
          <w:rFonts w:ascii="Arial" w:hAnsi="Arial" w:cs="Arial"/>
          <w:sz w:val="20"/>
          <w:szCs w:val="20"/>
          <w:bdr w:val="none" w:sz="0" w:space="0" w:color="auto" w:frame="1"/>
        </w:rPr>
        <w:t> В остальных случаях диагноз злокачественного новообразования устанавливается посмертно.</w:t>
      </w:r>
    </w:p>
    <w:p w14:paraId="4D8AA50A"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2</w:t>
      </w:r>
      <w:r w:rsidRPr="006E275E">
        <w:rPr>
          <w:rFonts w:ascii="Arial" w:hAnsi="Arial" w:cs="Arial"/>
          <w:sz w:val="20"/>
          <w:szCs w:val="20"/>
          <w:bdr w:val="none" w:sz="0" w:space="0" w:color="auto" w:frame="1"/>
        </w:rPr>
        <w:t> 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14:paraId="5AEA55C9"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3</w:t>
      </w:r>
      <w:r w:rsidRPr="006E275E">
        <w:rPr>
          <w:rFonts w:ascii="Arial" w:hAnsi="Arial" w:cs="Arial"/>
          <w:sz w:val="20"/>
          <w:szCs w:val="20"/>
          <w:bdr w:val="none" w:sz="0" w:space="0" w:color="auto" w:frame="1"/>
        </w:rPr>
        <w:t> 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14:paraId="6AE9E219"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4</w:t>
      </w:r>
      <w:r w:rsidRPr="006E275E">
        <w:rPr>
          <w:rFonts w:ascii="Arial" w:hAnsi="Arial" w:cs="Arial"/>
          <w:sz w:val="20"/>
          <w:szCs w:val="20"/>
          <w:bdr w:val="none" w:sz="0" w:space="0" w:color="auto" w:frame="1"/>
        </w:rPr>
        <w:t> С учетом сведений о количестве граждан, обеспеченных по рецептам выписанных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2023 г.</w:t>
      </w:r>
    </w:p>
    <w:p w14:paraId="2993D05F"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5</w:t>
      </w:r>
      <w:r w:rsidRPr="006E275E">
        <w:rPr>
          <w:rFonts w:ascii="Arial" w:hAnsi="Arial" w:cs="Arial"/>
          <w:sz w:val="20"/>
          <w:szCs w:val="20"/>
          <w:bdr w:val="none" w:sz="0" w:space="0" w:color="auto" w:frame="1"/>
        </w:rPr>
        <w: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14:paraId="26AD8695" w14:textId="77777777" w:rsidR="006E275E" w:rsidRPr="006E275E" w:rsidRDefault="006E275E" w:rsidP="006E275E">
      <w:pPr>
        <w:pStyle w:val="a6"/>
        <w:shd w:val="clear" w:color="auto" w:fill="FFFFFF"/>
        <w:spacing w:before="0" w:beforeAutospacing="0" w:after="240" w:afterAutospacing="0"/>
        <w:textAlignment w:val="top"/>
        <w:rPr>
          <w:rFonts w:ascii="Arial" w:hAnsi="Arial" w:cs="Arial"/>
          <w:sz w:val="20"/>
          <w:szCs w:val="20"/>
        </w:rPr>
      </w:pPr>
      <w:r w:rsidRPr="006E275E">
        <w:rPr>
          <w:rFonts w:ascii="Arial" w:hAnsi="Arial" w:cs="Arial"/>
          <w:sz w:val="20"/>
          <w:szCs w:val="20"/>
          <w:bdr w:val="none" w:sz="0" w:space="0" w:color="auto" w:frame="1"/>
          <w:vertAlign w:val="superscript"/>
        </w:rPr>
        <w:t>6</w:t>
      </w:r>
      <w:r w:rsidRPr="006E275E">
        <w:rPr>
          <w:rFonts w:ascii="Arial" w:hAnsi="Arial" w:cs="Arial"/>
          <w:sz w:val="20"/>
          <w:szCs w:val="20"/>
          <w:bdr w:val="none" w:sz="0" w:space="0" w:color="auto" w:frame="1"/>
        </w:rPr>
        <w: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 актами города Москвы, на получение мер социальной поддержки в форме лекарственного обеспечения.</w:t>
      </w:r>
    </w:p>
    <w:p w14:paraId="1B73C8FC" w14:textId="77777777" w:rsidR="006E275E" w:rsidRPr="006E275E" w:rsidRDefault="006E275E" w:rsidP="006E275E">
      <w:pPr>
        <w:jc w:val="center"/>
        <w:rPr>
          <w:b/>
          <w:bCs/>
        </w:rPr>
      </w:pPr>
    </w:p>
    <w:sectPr w:rsidR="006E275E" w:rsidRPr="006E27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E"/>
    <w:rsid w:val="001230DC"/>
    <w:rsid w:val="006E275E"/>
    <w:rsid w:val="00BD79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34FF"/>
  <w15:chartTrackingRefBased/>
  <w15:docId w15:val="{E2C2C72F-F5FA-4727-AC2A-4C7C81A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E27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E275E"/>
    <w:rPr>
      <w:rFonts w:asciiTheme="majorHAnsi" w:eastAsiaTheme="majorEastAsia" w:hAnsiTheme="majorHAnsi" w:cstheme="majorBidi"/>
      <w:spacing w:val="-10"/>
      <w:kern w:val="28"/>
      <w:sz w:val="56"/>
      <w:szCs w:val="56"/>
    </w:rPr>
  </w:style>
  <w:style w:type="character" w:styleId="a5">
    <w:name w:val="Strong"/>
    <w:basedOn w:val="a0"/>
    <w:uiPriority w:val="22"/>
    <w:qFormat/>
    <w:rsid w:val="006E275E"/>
    <w:rPr>
      <w:b/>
      <w:bCs/>
    </w:rPr>
  </w:style>
  <w:style w:type="paragraph" w:styleId="a6">
    <w:name w:val="Normal (Web)"/>
    <w:basedOn w:val="a"/>
    <w:uiPriority w:val="99"/>
    <w:semiHidden/>
    <w:unhideWhenUsed/>
    <w:rsid w:val="006E27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00427">
      <w:bodyDiv w:val="1"/>
      <w:marLeft w:val="0"/>
      <w:marRight w:val="0"/>
      <w:marTop w:val="0"/>
      <w:marBottom w:val="0"/>
      <w:divBdr>
        <w:top w:val="none" w:sz="0" w:space="0" w:color="auto"/>
        <w:left w:val="none" w:sz="0" w:space="0" w:color="auto"/>
        <w:bottom w:val="none" w:sz="0" w:space="0" w:color="auto"/>
        <w:right w:val="none" w:sz="0" w:space="0" w:color="auto"/>
      </w:divBdr>
    </w:div>
    <w:div w:id="898518653">
      <w:bodyDiv w:val="1"/>
      <w:marLeft w:val="0"/>
      <w:marRight w:val="0"/>
      <w:marTop w:val="0"/>
      <w:marBottom w:val="0"/>
      <w:divBdr>
        <w:top w:val="none" w:sz="0" w:space="0" w:color="auto"/>
        <w:left w:val="none" w:sz="0" w:space="0" w:color="auto"/>
        <w:bottom w:val="none" w:sz="0" w:space="0" w:color="auto"/>
        <w:right w:val="none" w:sz="0" w:space="0" w:color="auto"/>
      </w:divBdr>
    </w:div>
    <w:div w:id="1325931031">
      <w:bodyDiv w:val="1"/>
      <w:marLeft w:val="0"/>
      <w:marRight w:val="0"/>
      <w:marTop w:val="0"/>
      <w:marBottom w:val="0"/>
      <w:divBdr>
        <w:top w:val="none" w:sz="0" w:space="0" w:color="auto"/>
        <w:left w:val="none" w:sz="0" w:space="0" w:color="auto"/>
        <w:bottom w:val="none" w:sz="0" w:space="0" w:color="auto"/>
        <w:right w:val="none" w:sz="0" w:space="0" w:color="auto"/>
      </w:divBdr>
    </w:div>
    <w:div w:id="1846631620">
      <w:bodyDiv w:val="1"/>
      <w:marLeft w:val="0"/>
      <w:marRight w:val="0"/>
      <w:marTop w:val="0"/>
      <w:marBottom w:val="0"/>
      <w:divBdr>
        <w:top w:val="none" w:sz="0" w:space="0" w:color="auto"/>
        <w:left w:val="none" w:sz="0" w:space="0" w:color="auto"/>
        <w:bottom w:val="none" w:sz="0" w:space="0" w:color="auto"/>
        <w:right w:val="none" w:sz="0" w:space="0" w:color="auto"/>
      </w:divBdr>
    </w:div>
    <w:div w:id="19781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Бабкина</dc:creator>
  <cp:keywords/>
  <dc:description/>
  <cp:lastModifiedBy>Анастасия Бабкина</cp:lastModifiedBy>
  <cp:revision>1</cp:revision>
  <dcterms:created xsi:type="dcterms:W3CDTF">2024-08-29T10:56:00Z</dcterms:created>
  <dcterms:modified xsi:type="dcterms:W3CDTF">2024-08-29T11:32:00Z</dcterms:modified>
</cp:coreProperties>
</file>